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hint="eastAsia"/>
          <w:sz w:val="36"/>
          <w:szCs w:val="36"/>
        </w:rPr>
      </w:pP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蒲友可律师，毕业于西南政法大学，自2011年开始执业至今。期间专研于各类民事诉讼，涉及婚姻家庭纠纷、经济合同案件、房产诉讼等，曾代理过数百起民航飞行员转会纠纷。非诉方面，曾系深圳华侨城集团、方大集团、联合优友等国内企业的法律服务团队律师之一，为各大企业处理日常法律服务，解决纠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OThmZGMzN2EyYTU0NTY3YWUwMzdmMWI0NjhmODIifQ=="/>
  </w:docVars>
  <w:rsids>
    <w:rsidRoot w:val="00000000"/>
    <w:rsid w:val="2BB37594"/>
    <w:rsid w:val="58B0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0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2022-08-16T07:23:00Z</dcterms:created>
  <dc:creator>Administrator</dc:creator>
  <cp:lastModifiedBy>青春的颜色</cp:lastModifiedBy>
  <dcterms:modified xsi:type="dcterms:W3CDTF">2023-05-25T07:06:30Z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6A5C8C94E4BC433C8D6C0F23BBA7E3A3</vt:lpwstr>
  </property>
</Properties>
</file>